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053937" cy="1264168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937" cy="126416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RONCO BRIANTINO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nfcv9mlwk1u6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zihibgung7b7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