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82512" cy="158929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12" cy="1589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MOLTRASIO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ur8gke4jfsx3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o2qlregm267u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232shgkizq6g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42vdt8k91ngc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yn9m7bx28a3z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