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68237" cy="148586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37" cy="14858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PESSANO CON BORNAGO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xioi7egr7f6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nlchncqaqk4h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5b92hkevn6c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dlbj75yo580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fgaagwui5ldl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