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01562" cy="151313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62" cy="1513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GORLE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1bon145mufxm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nagotq7knuvf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etxg2t3uxyka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lblspo7ga0id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lj6lbgxffte9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