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252661" cy="1652588"/>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52661" cy="1652588"/>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RANZANICO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uo8ltnaycboj"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77aarfocdb7i"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c4sr7ew4tveg"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